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08" w:rsidRPr="00AB570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center"/>
        <w:rPr>
          <w:rStyle w:val="Lienhypertexte"/>
          <w:rFonts w:cstheme="minorHAnsi"/>
          <w:b/>
          <w:bCs/>
          <w:color w:val="7030A0"/>
          <w:sz w:val="24"/>
          <w:szCs w:val="24"/>
        </w:rPr>
      </w:pPr>
      <w:r w:rsidRPr="006770E4">
        <w:rPr>
          <w:rFonts w:cstheme="minorHAnsi"/>
          <w:b/>
          <w:bCs/>
          <w:color w:val="943634" w:themeColor="accent2" w:themeShade="BF"/>
          <w:sz w:val="24"/>
          <w:szCs w:val="24"/>
        </w:rPr>
        <w:fldChar w:fldCharType="begin"/>
      </w:r>
      <w:r w:rsidRPr="006770E4">
        <w:rPr>
          <w:rFonts w:cstheme="minorHAnsi"/>
          <w:b/>
          <w:bCs/>
          <w:color w:val="943634" w:themeColor="accent2" w:themeShade="BF"/>
          <w:sz w:val="24"/>
          <w:szCs w:val="24"/>
        </w:rPr>
        <w:instrText>HYPERLINK "https://www.banquedesterritoires.fr/idf-appel-projet-ingenierie-et-formation-professionnelles"</w:instrText>
      </w:r>
      <w:r w:rsidRPr="006770E4">
        <w:rPr>
          <w:rFonts w:cstheme="minorHAnsi"/>
          <w:b/>
          <w:bCs/>
          <w:color w:val="943634" w:themeColor="accent2" w:themeShade="BF"/>
          <w:sz w:val="24"/>
          <w:szCs w:val="24"/>
        </w:rPr>
        <w:fldChar w:fldCharType="separate"/>
      </w:r>
      <w:r w:rsidRPr="00AB5708">
        <w:rPr>
          <w:rStyle w:val="Lienhypertexte"/>
          <w:rFonts w:cstheme="minorHAnsi"/>
          <w:b/>
          <w:bCs/>
          <w:color w:val="7030A0"/>
          <w:sz w:val="24"/>
          <w:szCs w:val="24"/>
        </w:rPr>
        <w:t xml:space="preserve">Ingénierie et formation professionnelles </w:t>
      </w:r>
    </w:p>
    <w:p w:rsidR="00AB570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center"/>
        <w:rPr>
          <w:rFonts w:cstheme="minorHAnsi"/>
          <w:b/>
          <w:bCs/>
          <w:i/>
          <w:iCs/>
          <w:color w:val="943634" w:themeColor="accent2" w:themeShade="BF"/>
          <w:sz w:val="14"/>
          <w:szCs w:val="14"/>
        </w:rPr>
      </w:pPr>
      <w:r w:rsidRPr="006770E4">
        <w:rPr>
          <w:rFonts w:cstheme="minorHAnsi"/>
          <w:b/>
          <w:bCs/>
          <w:color w:val="943634" w:themeColor="accent2" w:themeShade="BF"/>
          <w:sz w:val="24"/>
          <w:szCs w:val="24"/>
        </w:rPr>
        <w:fldChar w:fldCharType="end"/>
      </w:r>
    </w:p>
    <w:p w:rsidR="00AB570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rPr>
          <w:rFonts w:cstheme="minorHAnsi"/>
        </w:rPr>
      </w:pPr>
      <w:r w:rsidRPr="001B4C82">
        <w:rPr>
          <w:rFonts w:cstheme="minorHAnsi"/>
        </w:rPr>
        <w:t>-</w:t>
      </w:r>
      <w:r>
        <w:rPr>
          <w:rFonts w:cstheme="minorHAnsi"/>
        </w:rPr>
        <w:t xml:space="preserve"> </w:t>
      </w:r>
      <w:r w:rsidRPr="001B4C82">
        <w:rPr>
          <w:rFonts w:cstheme="minorHAnsi"/>
          <w:b/>
          <w:bCs/>
        </w:rPr>
        <w:t>Porteur </w:t>
      </w:r>
      <w:r w:rsidRPr="001B4C82">
        <w:rPr>
          <w:rFonts w:cstheme="minorHAnsi"/>
        </w:rPr>
        <w:t xml:space="preserve">: </w:t>
      </w:r>
      <w:r>
        <w:rPr>
          <w:rFonts w:cstheme="minorHAnsi"/>
        </w:rPr>
        <w:t xml:space="preserve">CDC        </w:t>
      </w:r>
    </w:p>
    <w:p w:rsidR="00AB5708" w:rsidRPr="00FE409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rPr>
          <w:rFonts w:cstheme="minorHAnsi"/>
        </w:rPr>
      </w:pPr>
      <w:r w:rsidRPr="001D0622">
        <w:rPr>
          <w:rFonts w:cstheme="minorHAnsi"/>
          <w:b/>
          <w:bCs/>
        </w:rPr>
        <w:t>- Contact</w:t>
      </w:r>
      <w:r>
        <w:rPr>
          <w:rFonts w:cstheme="minorHAnsi"/>
          <w:b/>
          <w:bCs/>
        </w:rPr>
        <w:t xml:space="preserve"> : </w:t>
      </w:r>
      <w:hyperlink r:id="rId4" w:history="1">
        <w:r w:rsidRPr="00CB5CA6">
          <w:rPr>
            <w:rStyle w:val="Lienhypertexte"/>
            <w:rFonts w:cstheme="minorHAnsi"/>
          </w:rPr>
          <w:t>brigitte.de-la-houssaye@caissedesdepots.fr</w:t>
        </w:r>
      </w:hyperlink>
      <w:r>
        <w:rPr>
          <w:rFonts w:cstheme="minorHAnsi"/>
        </w:rPr>
        <w:t xml:space="preserve"> /</w:t>
      </w:r>
      <w:hyperlink r:id="rId5" w:history="1">
        <w:r w:rsidRPr="00CB5CA6">
          <w:rPr>
            <w:rStyle w:val="Lienhypertexte"/>
            <w:rFonts w:cstheme="minorHAnsi"/>
          </w:rPr>
          <w:t>cedric.djedovic@caissedesdepots.fr</w:t>
        </w:r>
      </w:hyperlink>
    </w:p>
    <w:p w:rsidR="00AB570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center"/>
        <w:rPr>
          <w:rFonts w:cstheme="minorHAnsi"/>
        </w:rPr>
      </w:pPr>
      <w:r>
        <w:rPr>
          <w:rFonts w:cstheme="minorHAnsi"/>
        </w:rPr>
        <w:t xml:space="preserve">- </w:t>
      </w:r>
      <w:r>
        <w:rPr>
          <w:rFonts w:cstheme="minorHAnsi"/>
          <w:b/>
          <w:bCs/>
        </w:rPr>
        <w:t>Ouverture</w:t>
      </w:r>
      <w:r>
        <w:rPr>
          <w:rFonts w:cstheme="minorHAnsi"/>
        </w:rPr>
        <w:t> : jusqu’au 29 décembre 2022</w:t>
      </w:r>
    </w:p>
    <w:p w:rsidR="00AB5708" w:rsidRPr="00FE409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center"/>
        <w:rPr>
          <w:rFonts w:cstheme="minorHAnsi"/>
          <w:sz w:val="2"/>
          <w:szCs w:val="2"/>
        </w:rPr>
      </w:pPr>
    </w:p>
    <w:p w:rsidR="00AB5708" w:rsidRPr="004620E9"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center"/>
        <w:rPr>
          <w:rStyle w:val="Lienhypertexte"/>
          <w:rFonts w:cstheme="minorHAnsi"/>
          <w:sz w:val="24"/>
          <w:szCs w:val="24"/>
        </w:rPr>
      </w:pPr>
      <w:r>
        <w:rPr>
          <w:rFonts w:cstheme="minorHAnsi"/>
          <w:sz w:val="24"/>
          <w:szCs w:val="24"/>
        </w:rPr>
        <w:fldChar w:fldCharType="begin"/>
      </w:r>
      <w:r>
        <w:rPr>
          <w:rFonts w:cstheme="minorHAnsi"/>
          <w:sz w:val="24"/>
          <w:szCs w:val="24"/>
        </w:rPr>
        <w:instrText>HYPERLINK "https://mesdemarches.iledefrance.fr/document-collect/cridfprd/root/public?objectId=161b2eca-a3b8-493d-8899-e309e2a345ba;1.0"</w:instrText>
      </w:r>
      <w:r>
        <w:rPr>
          <w:rFonts w:cstheme="minorHAnsi"/>
          <w:sz w:val="24"/>
          <w:szCs w:val="24"/>
        </w:rPr>
        <w:fldChar w:fldCharType="separate"/>
      </w:r>
      <w:r w:rsidRPr="004620E9">
        <w:rPr>
          <w:rStyle w:val="Lienhypertexte"/>
          <w:rFonts w:cstheme="minorHAnsi"/>
          <w:sz w:val="24"/>
          <w:szCs w:val="24"/>
        </w:rPr>
        <w:t>Cahier des charges</w:t>
      </w:r>
    </w:p>
    <w:p w:rsidR="00AB570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theme="minorHAnsi"/>
        </w:rPr>
      </w:pPr>
      <w:r>
        <w:rPr>
          <w:rFonts w:cstheme="minorHAnsi"/>
          <w:sz w:val="24"/>
          <w:szCs w:val="24"/>
        </w:rPr>
        <w:fldChar w:fldCharType="end"/>
      </w:r>
      <w:r w:rsidRPr="001B4C82">
        <w:rPr>
          <w:rFonts w:cstheme="minorHAnsi"/>
          <w:b/>
          <w:bCs/>
        </w:rPr>
        <w:t>Thématiques</w:t>
      </w:r>
      <w:r>
        <w:rPr>
          <w:rFonts w:cstheme="minorHAnsi"/>
        </w:rPr>
        <w:t> :</w:t>
      </w:r>
    </w:p>
    <w:p w:rsidR="00AB5708" w:rsidRPr="00772B3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theme="minorHAnsi"/>
        </w:rPr>
      </w:pPr>
      <w:r>
        <w:rPr>
          <w:rFonts w:cstheme="minorHAnsi"/>
        </w:rPr>
        <w:t xml:space="preserve">    Aide destinée aux collectivités territoriales et aux établissements de formation pour créer de nouvelles offres de formation. Il s’agit de répondre aux besoins de filières nouvelles ou en mutation, à intérêt stratégique, en adaptant la qualification des nouveaux entrants sur le marché du travail. On attend des projets d’amorçage de nouvelles formations et programmes, </w:t>
      </w:r>
      <w:proofErr w:type="gramStart"/>
      <w:r>
        <w:rPr>
          <w:rFonts w:cstheme="minorHAnsi"/>
        </w:rPr>
        <w:t>des formation</w:t>
      </w:r>
      <w:proofErr w:type="gramEnd"/>
      <w:r>
        <w:rPr>
          <w:rFonts w:cstheme="minorHAnsi"/>
        </w:rPr>
        <w:t xml:space="preserve"> de formateurs, des dispositifs de coordination avec les entreprises, des aménagements d’équipements de formation, etc. </w:t>
      </w:r>
    </w:p>
    <w:p w:rsidR="00AB570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theme="minorHAnsi"/>
        </w:rPr>
      </w:pPr>
      <w:r w:rsidRPr="001B4C82">
        <w:rPr>
          <w:rFonts w:cstheme="minorHAnsi"/>
          <w:b/>
          <w:bCs/>
        </w:rPr>
        <w:t>Modalités de soutien</w:t>
      </w:r>
      <w:r>
        <w:rPr>
          <w:rFonts w:cstheme="minorHAnsi"/>
        </w:rPr>
        <w:t> : Subventions pour un montant maximum de 2 millions d’euros.</w:t>
      </w:r>
    </w:p>
    <w:p w:rsidR="00AB570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theme="minorHAnsi"/>
          <w:b/>
          <w:bCs/>
        </w:rPr>
      </w:pPr>
      <w:r w:rsidRPr="001B4C82">
        <w:rPr>
          <w:rFonts w:cstheme="minorHAnsi"/>
          <w:b/>
          <w:bCs/>
        </w:rPr>
        <w:t>Informations complémentaires :</w:t>
      </w:r>
    </w:p>
    <w:p w:rsidR="00AB5708" w:rsidRPr="006A4099"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theme="minorHAnsi"/>
        </w:rPr>
      </w:pPr>
      <w:r>
        <w:rPr>
          <w:rFonts w:cstheme="minorHAnsi"/>
        </w:rPr>
        <w:t>- Projets de 400 000€ minimum ; sur 3 ans maximum.</w:t>
      </w:r>
    </w:p>
    <w:p w:rsidR="00AB570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theme="minorHAnsi"/>
        </w:rPr>
      </w:pPr>
      <w:r w:rsidRPr="001B4C82">
        <w:rPr>
          <w:rFonts w:cstheme="minorHAnsi"/>
        </w:rPr>
        <w:t>-</w:t>
      </w:r>
      <w:r>
        <w:rPr>
          <w:rFonts w:cstheme="minorHAnsi"/>
        </w:rPr>
        <w:t xml:space="preserve"> Les consortiums candidats doivent être larges, et associer autant des collectivités que des établissements de formation, ainsi que des entreprises de la filière ciblée.</w:t>
      </w:r>
    </w:p>
    <w:p w:rsidR="00AB5708" w:rsidRPr="00E30FAE" w:rsidRDefault="00AB5708" w:rsidP="00AB5708">
      <w:pPr>
        <w:rPr>
          <w:rFonts w:cstheme="minorHAnsi"/>
          <w:sz w:val="2"/>
          <w:szCs w:val="2"/>
        </w:rPr>
      </w:pPr>
    </w:p>
    <w:p w:rsidR="00AB5708" w:rsidRPr="006770E4"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center"/>
        <w:rPr>
          <w:rFonts w:cstheme="minorHAnsi"/>
          <w:b/>
          <w:bCs/>
          <w:color w:val="7030A0"/>
          <w:sz w:val="24"/>
          <w:szCs w:val="24"/>
        </w:rPr>
      </w:pPr>
      <w:hyperlink r:id="rId6" w:history="1">
        <w:r w:rsidRPr="006770E4">
          <w:rPr>
            <w:rStyle w:val="Lienhypertexte"/>
            <w:rFonts w:cstheme="minorHAnsi"/>
            <w:b/>
            <w:bCs/>
            <w:color w:val="7030A0"/>
            <w:sz w:val="24"/>
            <w:szCs w:val="24"/>
          </w:rPr>
          <w:t>Excellence sous toutes ses formes</w:t>
        </w:r>
      </w:hyperlink>
    </w:p>
    <w:p w:rsidR="00AB5708" w:rsidRPr="000D3073"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center"/>
        <w:rPr>
          <w:rFonts w:cstheme="minorHAnsi"/>
          <w:b/>
          <w:bCs/>
          <w:i/>
          <w:iCs/>
          <w:color w:val="943634" w:themeColor="accent2" w:themeShade="BF"/>
          <w:sz w:val="10"/>
          <w:szCs w:val="10"/>
        </w:rPr>
      </w:pPr>
    </w:p>
    <w:p w:rsidR="00AB570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center"/>
        <w:rPr>
          <w:rFonts w:cstheme="minorHAnsi"/>
        </w:rPr>
      </w:pPr>
      <w:r w:rsidRPr="001B4C82">
        <w:rPr>
          <w:rFonts w:cstheme="minorHAnsi"/>
        </w:rPr>
        <w:t>-</w:t>
      </w:r>
      <w:r>
        <w:rPr>
          <w:rFonts w:cstheme="minorHAnsi"/>
        </w:rPr>
        <w:t xml:space="preserve"> </w:t>
      </w:r>
      <w:r w:rsidRPr="001B4C82">
        <w:rPr>
          <w:rFonts w:cstheme="minorHAnsi"/>
          <w:b/>
          <w:bCs/>
        </w:rPr>
        <w:t>Porteur </w:t>
      </w:r>
      <w:r w:rsidRPr="001B4C82">
        <w:rPr>
          <w:rFonts w:cstheme="minorHAnsi"/>
        </w:rPr>
        <w:t xml:space="preserve">: </w:t>
      </w:r>
      <w:r>
        <w:rPr>
          <w:rFonts w:cstheme="minorHAnsi"/>
        </w:rPr>
        <w:t xml:space="preserve">ANR                                                                                </w:t>
      </w:r>
      <w:r w:rsidRPr="001D0622">
        <w:rPr>
          <w:rFonts w:cstheme="minorHAnsi"/>
          <w:b/>
          <w:bCs/>
        </w:rPr>
        <w:t>- Contact</w:t>
      </w:r>
      <w:r>
        <w:rPr>
          <w:rFonts w:cstheme="minorHAnsi"/>
          <w:b/>
          <w:bCs/>
        </w:rPr>
        <w:t> :</w:t>
      </w:r>
      <w:r w:rsidRPr="000D3073">
        <w:t xml:space="preserve"> </w:t>
      </w:r>
      <w:r w:rsidRPr="006770E4">
        <w:rPr>
          <w:rFonts w:cstheme="minorHAnsi"/>
        </w:rPr>
        <w:t>excellences@anr.fr</w:t>
      </w:r>
    </w:p>
    <w:p w:rsidR="00AB5708" w:rsidRPr="00FE409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center"/>
        <w:rPr>
          <w:rFonts w:cstheme="minorHAnsi"/>
        </w:rPr>
      </w:pPr>
    </w:p>
    <w:p w:rsidR="00AB570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center"/>
        <w:rPr>
          <w:rFonts w:cstheme="minorHAnsi"/>
        </w:rPr>
      </w:pPr>
      <w:r>
        <w:rPr>
          <w:rFonts w:cstheme="minorHAnsi"/>
        </w:rPr>
        <w:t xml:space="preserve">- </w:t>
      </w:r>
      <w:r>
        <w:rPr>
          <w:rFonts w:cstheme="minorHAnsi"/>
          <w:b/>
          <w:bCs/>
        </w:rPr>
        <w:t>Ouverture</w:t>
      </w:r>
      <w:r>
        <w:rPr>
          <w:rFonts w:cstheme="minorHAnsi"/>
        </w:rPr>
        <w:t> : jusqu’au 12 janvier 2023</w:t>
      </w:r>
    </w:p>
    <w:p w:rsidR="00AB5708" w:rsidRPr="00FE409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center"/>
        <w:rPr>
          <w:rFonts w:cstheme="minorHAnsi"/>
          <w:sz w:val="2"/>
          <w:szCs w:val="2"/>
        </w:rPr>
      </w:pPr>
    </w:p>
    <w:p w:rsidR="00AB5708" w:rsidRPr="004620E9"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center"/>
        <w:rPr>
          <w:rStyle w:val="Lienhypertexte"/>
          <w:rFonts w:cstheme="minorHAnsi"/>
          <w:sz w:val="24"/>
          <w:szCs w:val="24"/>
        </w:rPr>
      </w:pPr>
      <w:r>
        <w:rPr>
          <w:rFonts w:cstheme="minorHAnsi"/>
          <w:sz w:val="24"/>
          <w:szCs w:val="24"/>
        </w:rPr>
        <w:fldChar w:fldCharType="begin"/>
      </w:r>
      <w:r>
        <w:rPr>
          <w:rFonts w:cstheme="minorHAnsi"/>
          <w:sz w:val="24"/>
          <w:szCs w:val="24"/>
        </w:rPr>
        <w:instrText>HYPERLINK "https://anr.fr/fileadmin/aap/2022/france2030-ExcellecEs-vague3-2022.pdf"</w:instrText>
      </w:r>
      <w:r>
        <w:rPr>
          <w:rFonts w:cstheme="minorHAnsi"/>
          <w:sz w:val="24"/>
          <w:szCs w:val="24"/>
        </w:rPr>
        <w:fldChar w:fldCharType="separate"/>
      </w:r>
      <w:r w:rsidRPr="004620E9">
        <w:rPr>
          <w:rStyle w:val="Lienhypertexte"/>
          <w:rFonts w:cstheme="minorHAnsi"/>
          <w:sz w:val="24"/>
          <w:szCs w:val="24"/>
        </w:rPr>
        <w:t>Cahier des charges</w:t>
      </w:r>
    </w:p>
    <w:p w:rsidR="00AB570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theme="minorHAnsi"/>
        </w:rPr>
      </w:pPr>
      <w:r>
        <w:rPr>
          <w:rFonts w:cstheme="minorHAnsi"/>
          <w:sz w:val="24"/>
          <w:szCs w:val="24"/>
        </w:rPr>
        <w:fldChar w:fldCharType="end"/>
      </w:r>
      <w:r w:rsidRPr="001B4C82">
        <w:rPr>
          <w:rFonts w:cstheme="minorHAnsi"/>
          <w:b/>
          <w:bCs/>
        </w:rPr>
        <w:t>Thématiques</w:t>
      </w:r>
      <w:r>
        <w:rPr>
          <w:rFonts w:cstheme="minorHAnsi"/>
        </w:rPr>
        <w:t> :</w:t>
      </w:r>
    </w:p>
    <w:p w:rsidR="00AB570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theme="minorHAnsi"/>
        </w:rPr>
      </w:pPr>
      <w:r>
        <w:rPr>
          <w:rFonts w:cstheme="minorHAnsi"/>
        </w:rPr>
        <w:t xml:space="preserve">    A</w:t>
      </w:r>
      <w:r w:rsidRPr="006770E4">
        <w:rPr>
          <w:rFonts w:cstheme="minorHAnsi"/>
        </w:rPr>
        <w:t>ccompagner les établissements d’enseignement supérieur porteurs d’un projet de transformation ambitieux</w:t>
      </w:r>
      <w:r>
        <w:rPr>
          <w:rFonts w:cstheme="minorHAnsi"/>
        </w:rPr>
        <w:t>, en servant une ambition d’excellence au regard des standards internationaux. Par exemple, s’appuyer sur une approche pédagogique innovante, offrir un meilleur environnement aux personnels et étudiants, développer une attractivité internationale, etc. L’offre éducative doit viser à former à une qualification de haut niveau, reconnue au niveau international, et intégré au niveau territorial. Le projet doit prendre la forme d’un plan d’orientation stratégique.</w:t>
      </w:r>
    </w:p>
    <w:p w:rsidR="00AB570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theme="minorHAnsi"/>
        </w:rPr>
      </w:pPr>
      <w:r w:rsidRPr="001B4C82">
        <w:rPr>
          <w:rFonts w:cstheme="minorHAnsi"/>
          <w:b/>
          <w:bCs/>
        </w:rPr>
        <w:t>Modalités de soutien</w:t>
      </w:r>
      <w:r>
        <w:rPr>
          <w:rFonts w:cstheme="minorHAnsi"/>
        </w:rPr>
        <w:t> : Subventions directes</w:t>
      </w:r>
    </w:p>
    <w:p w:rsidR="00AB570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theme="minorHAnsi"/>
          <w:b/>
          <w:bCs/>
        </w:rPr>
      </w:pPr>
      <w:r w:rsidRPr="001B4C82">
        <w:rPr>
          <w:rFonts w:cstheme="minorHAnsi"/>
          <w:b/>
          <w:bCs/>
        </w:rPr>
        <w:t>Informations complémentaires :</w:t>
      </w:r>
    </w:p>
    <w:p w:rsidR="00AB570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theme="minorHAnsi"/>
        </w:rPr>
      </w:pPr>
      <w:r>
        <w:rPr>
          <w:rFonts w:cstheme="minorHAnsi"/>
        </w:rPr>
        <w:t xml:space="preserve">- Pour les établissements d’enseignement supérieur et de recherche, seuls ou en consortium. </w:t>
      </w:r>
    </w:p>
    <w:p w:rsidR="00AB570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theme="minorHAnsi"/>
        </w:rPr>
      </w:pPr>
      <w:r>
        <w:rPr>
          <w:rFonts w:cstheme="minorHAnsi"/>
        </w:rPr>
        <w:t>- Le dépôt de dossier doit se faire en Anglais (jury au niveau européen)</w:t>
      </w:r>
    </w:p>
    <w:p w:rsidR="004727A6" w:rsidRPr="00AB5708" w:rsidRDefault="00AB5708" w:rsidP="00AB5708">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theme="minorHAnsi"/>
        </w:rPr>
      </w:pPr>
      <w:r>
        <w:rPr>
          <w:rFonts w:cstheme="minorHAnsi"/>
        </w:rPr>
        <w:t>- Prévu pour des projets de grande ampleur, ce dispositif répondra à des projets qui demandent au minimum 5 millions d’euros au titre de France 2030.</w:t>
      </w:r>
    </w:p>
    <w:sectPr w:rsidR="004727A6" w:rsidRPr="00AB5708" w:rsidSect="00C14985">
      <w:pgSz w:w="11906" w:h="16838"/>
      <w:pgMar w:top="873" w:right="873" w:bottom="873" w:left="873" w:header="340" w:footer="51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B5708"/>
    <w:rsid w:val="004727A6"/>
    <w:rsid w:val="00AB57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08"/>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57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r.fr/fr/france-2030/france2030/call/excellence-sous-toutes-ses-formes-excellences-appel-a-projets-2022-vague-3/" TargetMode="External"/><Relationship Id="rId5" Type="http://schemas.openxmlformats.org/officeDocument/2006/relationships/hyperlink" Target="mailto:cedric.djedovic@caissedesdepots.fr" TargetMode="External"/><Relationship Id="rId4" Type="http://schemas.openxmlformats.org/officeDocument/2006/relationships/hyperlink" Target="mailto:brigitte.de-la-houssaye@caissedesdepot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2422</Characters>
  <Application>Microsoft Office Word</Application>
  <DocSecurity>0</DocSecurity>
  <Lines>20</Lines>
  <Paragraphs>5</Paragraphs>
  <ScaleCrop>false</ScaleCrop>
  <Company>DSIC</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VIGNATPA</dc:creator>
  <cp:lastModifiedBy>VIGNATPA</cp:lastModifiedBy>
  <cp:revision>1</cp:revision>
  <dcterms:created xsi:type="dcterms:W3CDTF">2022-11-24T14:05:00Z</dcterms:created>
  <dcterms:modified xsi:type="dcterms:W3CDTF">2022-11-24T14:05:00Z</dcterms:modified>
</cp:coreProperties>
</file>